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7AF" w:rsidRDefault="00765576" w:rsidP="00765576">
      <w:pPr>
        <w:jc w:val="center"/>
      </w:pPr>
      <w:r w:rsidRPr="006E621C">
        <w:rPr>
          <w:noProof/>
          <w:lang w:eastAsia="en-IN"/>
        </w:rPr>
        <w:drawing>
          <wp:inline distT="0" distB="0" distL="0" distR="0" wp14:anchorId="37A2170F" wp14:editId="605B6A52">
            <wp:extent cx="583565" cy="685800"/>
            <wp:effectExtent l="0" t="0" r="635" b="0"/>
            <wp:docPr id="165" name="Picture 1" descr="Navrachana University (NUV), Vadodara - 2021 Admissions, Courses, Fees,  Ra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vrachana University (NUV), Vadodara - 2021 Admissions, Courses, Fees,  Rank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a:ln>
                      <a:noFill/>
                    </a:ln>
                  </pic:spPr>
                </pic:pic>
              </a:graphicData>
            </a:graphic>
          </wp:inline>
        </w:drawing>
      </w:r>
    </w:p>
    <w:p w:rsidR="00765576" w:rsidRDefault="00765576" w:rsidP="00765576">
      <w:pPr>
        <w:jc w:val="center"/>
        <w:rPr>
          <w:b/>
          <w:bCs/>
        </w:rPr>
      </w:pPr>
      <w:proofErr w:type="spellStart"/>
      <w:r w:rsidRPr="006E621C">
        <w:rPr>
          <w:b/>
          <w:bCs/>
        </w:rPr>
        <w:t>Navrachana</w:t>
      </w:r>
      <w:proofErr w:type="spellEnd"/>
      <w:r w:rsidRPr="006E621C">
        <w:rPr>
          <w:b/>
          <w:bCs/>
        </w:rPr>
        <w:t xml:space="preserve"> University Vadodara</w:t>
      </w:r>
    </w:p>
    <w:p w:rsidR="00765576" w:rsidRPr="00D94E7C" w:rsidRDefault="00765576" w:rsidP="00765576">
      <w:pPr>
        <w:rPr>
          <w:rFonts w:ascii="Aptos" w:hAnsi="Aptos"/>
          <w:b/>
          <w:bCs/>
        </w:rPr>
      </w:pPr>
      <w:r w:rsidRPr="00D94E7C">
        <w:rPr>
          <w:rFonts w:ascii="Aptos" w:hAnsi="Aptos"/>
          <w:b/>
          <w:bCs/>
        </w:rPr>
        <w:t xml:space="preserve">Department: </w:t>
      </w:r>
      <w:proofErr w:type="spellStart"/>
      <w:r w:rsidRPr="00D94E7C">
        <w:rPr>
          <w:rFonts w:ascii="Aptos" w:hAnsi="Aptos"/>
        </w:rPr>
        <w:t>Navrachana</w:t>
      </w:r>
      <w:proofErr w:type="spellEnd"/>
      <w:r w:rsidRPr="00D94E7C">
        <w:rPr>
          <w:rFonts w:ascii="Aptos" w:hAnsi="Aptos"/>
        </w:rPr>
        <w:t xml:space="preserve"> Innovation Foundation</w:t>
      </w:r>
    </w:p>
    <w:p w:rsidR="00765576" w:rsidRPr="00BD6FDC" w:rsidRDefault="00765576" w:rsidP="00765576">
      <w:pPr>
        <w:rPr>
          <w:rFonts w:ascii="Aptos" w:hAnsi="Aptos"/>
          <w:b/>
          <w:bCs/>
        </w:rPr>
      </w:pPr>
      <w:r w:rsidRPr="00D94E7C">
        <w:rPr>
          <w:rFonts w:ascii="Aptos" w:hAnsi="Aptos"/>
          <w:b/>
          <w:bCs/>
        </w:rPr>
        <w:t xml:space="preserve">Title of the Event: </w:t>
      </w:r>
      <w:r w:rsidR="008E2073">
        <w:t>Startup Apna-Apna</w:t>
      </w:r>
      <w:bookmarkStart w:id="0" w:name="_GoBack"/>
      <w:bookmarkEnd w:id="0"/>
    </w:p>
    <w:p w:rsidR="00765576" w:rsidRDefault="00765576" w:rsidP="00765576">
      <w:pPr>
        <w:rPr>
          <w:rFonts w:ascii="Aptos" w:hAnsi="Aptos"/>
        </w:rPr>
      </w:pPr>
      <w:r w:rsidRPr="00D94E7C">
        <w:rPr>
          <w:rFonts w:ascii="Aptos" w:hAnsi="Aptos"/>
          <w:b/>
          <w:bCs/>
        </w:rPr>
        <w:t xml:space="preserve">Date: </w:t>
      </w:r>
      <w:r>
        <w:rPr>
          <w:rFonts w:ascii="Aptos" w:hAnsi="Aptos"/>
        </w:rPr>
        <w:t>26</w:t>
      </w:r>
      <w:r w:rsidRPr="00765576">
        <w:rPr>
          <w:rFonts w:ascii="Aptos" w:hAnsi="Aptos"/>
          <w:vertAlign w:val="superscript"/>
        </w:rPr>
        <w:t>th</w:t>
      </w:r>
      <w:r>
        <w:rPr>
          <w:rFonts w:ascii="Aptos" w:hAnsi="Aptos"/>
        </w:rPr>
        <w:t xml:space="preserve"> July </w:t>
      </w:r>
      <w:r w:rsidRPr="00D94E7C">
        <w:rPr>
          <w:rFonts w:ascii="Aptos" w:hAnsi="Aptos"/>
        </w:rPr>
        <w:t>2025</w:t>
      </w:r>
    </w:p>
    <w:p w:rsidR="00765576" w:rsidRDefault="00765576" w:rsidP="00765576">
      <w:pPr>
        <w:rPr>
          <w:rFonts w:ascii="Aptos" w:hAnsi="Aptos"/>
        </w:rPr>
      </w:pPr>
    </w:p>
    <w:tbl>
      <w:tblPr>
        <w:tblStyle w:val="TableGrid"/>
        <w:tblW w:w="9634" w:type="dxa"/>
        <w:tblLayout w:type="fixed"/>
        <w:tblLook w:val="04A0" w:firstRow="1" w:lastRow="0" w:firstColumn="1" w:lastColumn="0" w:noHBand="0" w:noVBand="1"/>
      </w:tblPr>
      <w:tblGrid>
        <w:gridCol w:w="3681"/>
        <w:gridCol w:w="567"/>
        <w:gridCol w:w="2410"/>
        <w:gridCol w:w="2976"/>
      </w:tblGrid>
      <w:tr w:rsidR="00765576" w:rsidRPr="006E621C" w:rsidTr="001E1838">
        <w:tc>
          <w:tcPr>
            <w:tcW w:w="3681" w:type="dxa"/>
            <w:vAlign w:val="center"/>
          </w:tcPr>
          <w:p w:rsidR="00765576" w:rsidRDefault="00765576" w:rsidP="001E1838">
            <w:pPr>
              <w:rPr>
                <w:rFonts w:eastAsia="Arial"/>
                <w:b/>
                <w:bCs/>
              </w:rPr>
            </w:pPr>
            <w:r w:rsidRPr="006E621C">
              <w:rPr>
                <w:rFonts w:eastAsia="Arial"/>
                <w:b/>
                <w:bCs/>
              </w:rPr>
              <w:t>Category: (</w:t>
            </w:r>
            <w:r w:rsidRPr="006C722B">
              <w:rPr>
                <w:rFonts w:eastAsia="Arial"/>
                <w:b/>
                <w:bCs/>
              </w:rPr>
              <w:t>Seminar/Webinar/Symposium/</w:t>
            </w:r>
          </w:p>
          <w:p w:rsidR="00765576" w:rsidRPr="006E621C" w:rsidRDefault="00765576" w:rsidP="001E1838">
            <w:pPr>
              <w:rPr>
                <w:b/>
                <w:bCs/>
              </w:rPr>
            </w:pPr>
            <w:r w:rsidRPr="006C722B">
              <w:rPr>
                <w:rFonts w:eastAsia="Arial"/>
                <w:b/>
                <w:bCs/>
              </w:rPr>
              <w:t>Training</w:t>
            </w:r>
            <w:r>
              <w:rPr>
                <w:rFonts w:eastAsia="Arial"/>
                <w:b/>
                <w:bCs/>
              </w:rPr>
              <w:t xml:space="preserve"> </w:t>
            </w:r>
            <w:r w:rsidRPr="006C722B">
              <w:rPr>
                <w:rFonts w:eastAsia="Arial"/>
                <w:b/>
                <w:bCs/>
              </w:rPr>
              <w:t>Program/Conference/Activity/Event</w:t>
            </w:r>
            <w:r>
              <w:rPr>
                <w:rFonts w:eastAsia="Arial"/>
                <w:b/>
                <w:bCs/>
              </w:rPr>
              <w:t xml:space="preserve"> </w:t>
            </w:r>
            <w:r w:rsidRPr="006E621C">
              <w:rPr>
                <w:rFonts w:eastAsia="Arial"/>
                <w:b/>
                <w:bCs/>
              </w:rPr>
              <w:t>etc.)</w:t>
            </w:r>
          </w:p>
        </w:tc>
        <w:tc>
          <w:tcPr>
            <w:tcW w:w="5953" w:type="dxa"/>
            <w:gridSpan w:val="3"/>
            <w:vAlign w:val="center"/>
          </w:tcPr>
          <w:p w:rsidR="00765576" w:rsidRPr="006E621C" w:rsidRDefault="00765576" w:rsidP="001E1838">
            <w:pPr>
              <w:jc w:val="center"/>
              <w:rPr>
                <w:b/>
                <w:bCs/>
              </w:rPr>
            </w:pPr>
            <w:r>
              <w:rPr>
                <w:b/>
                <w:bCs/>
              </w:rPr>
              <w:t>Activity/ Event</w:t>
            </w:r>
          </w:p>
        </w:tc>
      </w:tr>
      <w:tr w:rsidR="00765576" w:rsidRPr="006E621C" w:rsidTr="001E1838">
        <w:tc>
          <w:tcPr>
            <w:tcW w:w="3681" w:type="dxa"/>
            <w:vAlign w:val="center"/>
          </w:tcPr>
          <w:p w:rsidR="00765576" w:rsidRPr="006E621C" w:rsidRDefault="00765576" w:rsidP="001E1838">
            <w:pPr>
              <w:rPr>
                <w:rFonts w:eastAsia="Arial"/>
                <w:b/>
                <w:bCs/>
              </w:rPr>
            </w:pPr>
            <w:r w:rsidRPr="006E621C">
              <w:rPr>
                <w:rFonts w:eastAsia="Arial"/>
                <w:b/>
                <w:bCs/>
              </w:rPr>
              <w:t>Name of Activity:</w:t>
            </w:r>
          </w:p>
        </w:tc>
        <w:tc>
          <w:tcPr>
            <w:tcW w:w="5953" w:type="dxa"/>
            <w:gridSpan w:val="3"/>
            <w:vAlign w:val="center"/>
          </w:tcPr>
          <w:p w:rsidR="00765576" w:rsidRPr="00BD6FDC" w:rsidRDefault="00765576" w:rsidP="001E1838">
            <w:pPr>
              <w:jc w:val="center"/>
              <w:rPr>
                <w:b/>
                <w:bCs/>
              </w:rPr>
            </w:pPr>
            <w:r>
              <w:rPr>
                <w:b/>
              </w:rPr>
              <w:t xml:space="preserve">Start up </w:t>
            </w:r>
            <w:proofErr w:type="spellStart"/>
            <w:r>
              <w:rPr>
                <w:b/>
              </w:rPr>
              <w:t>Apna</w:t>
            </w:r>
            <w:proofErr w:type="spellEnd"/>
            <w:r>
              <w:rPr>
                <w:b/>
              </w:rPr>
              <w:t xml:space="preserve"> </w:t>
            </w:r>
            <w:proofErr w:type="spellStart"/>
            <w:r>
              <w:rPr>
                <w:b/>
              </w:rPr>
              <w:t>Apna</w:t>
            </w:r>
            <w:proofErr w:type="spellEnd"/>
          </w:p>
        </w:tc>
      </w:tr>
      <w:tr w:rsidR="00765576" w:rsidRPr="006E621C" w:rsidTr="001E1838">
        <w:tc>
          <w:tcPr>
            <w:tcW w:w="3681" w:type="dxa"/>
            <w:vAlign w:val="center"/>
          </w:tcPr>
          <w:p w:rsidR="00765576" w:rsidRPr="006E621C" w:rsidRDefault="00765576" w:rsidP="001E1838">
            <w:pPr>
              <w:rPr>
                <w:rFonts w:eastAsia="Arial"/>
                <w:b/>
                <w:bCs/>
              </w:rPr>
            </w:pPr>
            <w:r w:rsidRPr="006E621C">
              <w:rPr>
                <w:rFonts w:eastAsia="Arial"/>
                <w:b/>
                <w:bCs/>
              </w:rPr>
              <w:t>Name of the agencies/consultants involved with contact details (if any)</w:t>
            </w:r>
          </w:p>
        </w:tc>
        <w:tc>
          <w:tcPr>
            <w:tcW w:w="5953" w:type="dxa"/>
            <w:gridSpan w:val="3"/>
            <w:vAlign w:val="center"/>
          </w:tcPr>
          <w:p w:rsidR="00765576" w:rsidRPr="00BD6FDC" w:rsidRDefault="00765576" w:rsidP="001E1838">
            <w:pPr>
              <w:jc w:val="center"/>
              <w:rPr>
                <w:b/>
                <w:bCs/>
              </w:rPr>
            </w:pPr>
          </w:p>
        </w:tc>
      </w:tr>
      <w:tr w:rsidR="00765576" w:rsidRPr="006E621C" w:rsidTr="001E1838">
        <w:tc>
          <w:tcPr>
            <w:tcW w:w="3681" w:type="dxa"/>
            <w:vAlign w:val="center"/>
          </w:tcPr>
          <w:p w:rsidR="00765576" w:rsidRPr="006E621C" w:rsidRDefault="00765576" w:rsidP="001E1838">
            <w:pPr>
              <w:rPr>
                <w:rFonts w:eastAsia="Arial"/>
                <w:b/>
                <w:bCs/>
              </w:rPr>
            </w:pPr>
            <w:r w:rsidRPr="006E621C">
              <w:rPr>
                <w:rFonts w:eastAsia="Arial"/>
                <w:b/>
                <w:bCs/>
              </w:rPr>
              <w:t>Event organized for:</w:t>
            </w:r>
          </w:p>
          <w:p w:rsidR="00765576" w:rsidRPr="006E621C" w:rsidRDefault="00765576" w:rsidP="001E1838">
            <w:pPr>
              <w:rPr>
                <w:rFonts w:eastAsia="Arial"/>
                <w:b/>
                <w:bCs/>
              </w:rPr>
            </w:pPr>
            <w:r w:rsidRPr="006E621C">
              <w:rPr>
                <w:rFonts w:eastAsia="Arial"/>
                <w:b/>
                <w:bCs/>
              </w:rPr>
              <w:t>(NUV Faculty/NUV Students/NUV administration staff/Outside/All)</w:t>
            </w:r>
          </w:p>
        </w:tc>
        <w:tc>
          <w:tcPr>
            <w:tcW w:w="5953" w:type="dxa"/>
            <w:gridSpan w:val="3"/>
            <w:vAlign w:val="center"/>
          </w:tcPr>
          <w:p w:rsidR="00765576" w:rsidRPr="006E621C" w:rsidRDefault="00765576" w:rsidP="001E1838">
            <w:pPr>
              <w:jc w:val="center"/>
              <w:rPr>
                <w:b/>
                <w:bCs/>
              </w:rPr>
            </w:pPr>
            <w:r>
              <w:rPr>
                <w:b/>
                <w:bCs/>
              </w:rPr>
              <w:t>All</w:t>
            </w:r>
          </w:p>
        </w:tc>
      </w:tr>
      <w:tr w:rsidR="00765576" w:rsidRPr="006E621C" w:rsidTr="001E1838">
        <w:tc>
          <w:tcPr>
            <w:tcW w:w="3681" w:type="dxa"/>
            <w:vAlign w:val="center"/>
          </w:tcPr>
          <w:p w:rsidR="00765576" w:rsidRPr="006E621C" w:rsidRDefault="00765576" w:rsidP="001E1838">
            <w:pPr>
              <w:rPr>
                <w:rFonts w:eastAsia="Arial"/>
                <w:b/>
                <w:bCs/>
              </w:rPr>
            </w:pPr>
            <w:r w:rsidRPr="006E621C">
              <w:rPr>
                <w:rFonts w:eastAsia="Arial"/>
                <w:b/>
                <w:bCs/>
              </w:rPr>
              <w:t>Organising unit/ agency/ collaborating agency:</w:t>
            </w:r>
          </w:p>
        </w:tc>
        <w:tc>
          <w:tcPr>
            <w:tcW w:w="5953" w:type="dxa"/>
            <w:gridSpan w:val="3"/>
            <w:vAlign w:val="center"/>
          </w:tcPr>
          <w:p w:rsidR="00765576" w:rsidRPr="006E621C" w:rsidRDefault="00765576" w:rsidP="001E1838">
            <w:pPr>
              <w:jc w:val="center"/>
              <w:rPr>
                <w:b/>
                <w:bCs/>
              </w:rPr>
            </w:pPr>
            <w:r>
              <w:rPr>
                <w:b/>
                <w:bCs/>
              </w:rPr>
              <w:t>NA</w:t>
            </w:r>
          </w:p>
        </w:tc>
      </w:tr>
      <w:tr w:rsidR="00765576" w:rsidRPr="006E621C" w:rsidTr="001E1838">
        <w:tc>
          <w:tcPr>
            <w:tcW w:w="3681" w:type="dxa"/>
            <w:vAlign w:val="center"/>
          </w:tcPr>
          <w:p w:rsidR="00765576" w:rsidRPr="00D252B9" w:rsidRDefault="00765576" w:rsidP="001E1838">
            <w:pPr>
              <w:rPr>
                <w:rFonts w:eastAsia="Arial"/>
                <w:b/>
                <w:bCs/>
                <w:highlight w:val="green"/>
              </w:rPr>
            </w:pPr>
            <w:r w:rsidRPr="00C44CDB">
              <w:rPr>
                <w:rFonts w:eastAsia="Arial"/>
                <w:b/>
                <w:bCs/>
              </w:rPr>
              <w:t>Name of the Scheme</w:t>
            </w:r>
          </w:p>
        </w:tc>
        <w:tc>
          <w:tcPr>
            <w:tcW w:w="5953" w:type="dxa"/>
            <w:gridSpan w:val="3"/>
            <w:vAlign w:val="center"/>
          </w:tcPr>
          <w:p w:rsidR="00765576" w:rsidRPr="006E621C" w:rsidRDefault="00765576" w:rsidP="001E1838">
            <w:pPr>
              <w:jc w:val="center"/>
              <w:rPr>
                <w:b/>
                <w:bCs/>
              </w:rPr>
            </w:pPr>
            <w:r>
              <w:rPr>
                <w:b/>
                <w:bCs/>
              </w:rPr>
              <w:t>NA</w:t>
            </w:r>
          </w:p>
        </w:tc>
      </w:tr>
      <w:tr w:rsidR="00765576" w:rsidRPr="006E621C" w:rsidTr="001E1838">
        <w:tc>
          <w:tcPr>
            <w:tcW w:w="3681" w:type="dxa"/>
            <w:vAlign w:val="center"/>
          </w:tcPr>
          <w:p w:rsidR="00765576" w:rsidRPr="006E621C" w:rsidRDefault="00765576" w:rsidP="001E1838">
            <w:pPr>
              <w:rPr>
                <w:rFonts w:eastAsia="Arial"/>
                <w:b/>
                <w:bCs/>
              </w:rPr>
            </w:pPr>
            <w:r w:rsidRPr="006E621C">
              <w:rPr>
                <w:rFonts w:eastAsia="Arial"/>
                <w:b/>
                <w:bCs/>
              </w:rPr>
              <w:t>Year of Activity</w:t>
            </w:r>
          </w:p>
        </w:tc>
        <w:tc>
          <w:tcPr>
            <w:tcW w:w="5953" w:type="dxa"/>
            <w:gridSpan w:val="3"/>
            <w:vAlign w:val="center"/>
          </w:tcPr>
          <w:p w:rsidR="00765576" w:rsidRPr="006E621C" w:rsidRDefault="00765576" w:rsidP="001E1838">
            <w:pPr>
              <w:jc w:val="center"/>
              <w:rPr>
                <w:b/>
                <w:bCs/>
              </w:rPr>
            </w:pPr>
            <w:r>
              <w:rPr>
                <w:b/>
                <w:bCs/>
              </w:rPr>
              <w:t>2025</w:t>
            </w:r>
          </w:p>
        </w:tc>
      </w:tr>
      <w:tr w:rsidR="00765576" w:rsidRPr="006E621C" w:rsidTr="001E1838">
        <w:tc>
          <w:tcPr>
            <w:tcW w:w="3681" w:type="dxa"/>
            <w:vAlign w:val="center"/>
          </w:tcPr>
          <w:p w:rsidR="00765576" w:rsidRPr="006E621C" w:rsidRDefault="00765576" w:rsidP="001E1838">
            <w:pPr>
              <w:rPr>
                <w:rFonts w:eastAsia="Arial"/>
                <w:b/>
                <w:bCs/>
              </w:rPr>
            </w:pPr>
            <w:r w:rsidRPr="006E621C">
              <w:rPr>
                <w:rFonts w:eastAsia="Arial"/>
                <w:b/>
                <w:bCs/>
              </w:rPr>
              <w:t>Mode of Program:</w:t>
            </w:r>
          </w:p>
          <w:p w:rsidR="00765576" w:rsidRPr="006E621C" w:rsidRDefault="00765576" w:rsidP="001E1838">
            <w:pPr>
              <w:rPr>
                <w:rFonts w:eastAsia="Arial"/>
                <w:b/>
                <w:bCs/>
              </w:rPr>
            </w:pPr>
            <w:r w:rsidRPr="006E621C">
              <w:rPr>
                <w:rFonts w:eastAsia="Arial"/>
                <w:b/>
                <w:bCs/>
              </w:rPr>
              <w:t>Online/Offline</w:t>
            </w:r>
          </w:p>
        </w:tc>
        <w:tc>
          <w:tcPr>
            <w:tcW w:w="5953" w:type="dxa"/>
            <w:gridSpan w:val="3"/>
            <w:vAlign w:val="center"/>
          </w:tcPr>
          <w:p w:rsidR="00765576" w:rsidRPr="006E621C" w:rsidRDefault="00765576" w:rsidP="001E1838">
            <w:pPr>
              <w:jc w:val="center"/>
              <w:rPr>
                <w:b/>
                <w:bCs/>
              </w:rPr>
            </w:pPr>
            <w:r>
              <w:rPr>
                <w:b/>
                <w:bCs/>
              </w:rPr>
              <w:t>Offline</w:t>
            </w:r>
          </w:p>
        </w:tc>
      </w:tr>
      <w:tr w:rsidR="00765576" w:rsidRPr="006E621C" w:rsidTr="001E1838">
        <w:tc>
          <w:tcPr>
            <w:tcW w:w="3681" w:type="dxa"/>
            <w:vAlign w:val="center"/>
          </w:tcPr>
          <w:p w:rsidR="00765576" w:rsidRPr="006E621C" w:rsidRDefault="00765576" w:rsidP="001E1838">
            <w:pPr>
              <w:rPr>
                <w:b/>
                <w:bCs/>
              </w:rPr>
            </w:pPr>
            <w:r w:rsidRPr="006E621C">
              <w:rPr>
                <w:rFonts w:eastAsia="Arial"/>
                <w:b/>
                <w:bCs/>
              </w:rPr>
              <w:t>Venue:</w:t>
            </w:r>
          </w:p>
        </w:tc>
        <w:tc>
          <w:tcPr>
            <w:tcW w:w="5953" w:type="dxa"/>
            <w:gridSpan w:val="3"/>
            <w:vAlign w:val="center"/>
          </w:tcPr>
          <w:p w:rsidR="00765576" w:rsidRPr="006E621C" w:rsidRDefault="00765576" w:rsidP="001E1838">
            <w:pPr>
              <w:jc w:val="center"/>
              <w:rPr>
                <w:b/>
                <w:bCs/>
              </w:rPr>
            </w:pPr>
            <w:r>
              <w:rPr>
                <w:b/>
                <w:bCs/>
              </w:rPr>
              <w:t>8</w:t>
            </w:r>
            <w:r w:rsidRPr="00BD6FDC">
              <w:rPr>
                <w:b/>
                <w:bCs/>
                <w:vertAlign w:val="superscript"/>
              </w:rPr>
              <w:t>th</w:t>
            </w:r>
            <w:r>
              <w:rPr>
                <w:b/>
                <w:bCs/>
              </w:rPr>
              <w:t xml:space="preserve"> Floor, Block A, </w:t>
            </w:r>
            <w:proofErr w:type="spellStart"/>
            <w:r>
              <w:rPr>
                <w:b/>
                <w:bCs/>
              </w:rPr>
              <w:t>Navrachana</w:t>
            </w:r>
            <w:proofErr w:type="spellEnd"/>
            <w:r>
              <w:rPr>
                <w:b/>
                <w:bCs/>
              </w:rPr>
              <w:t xml:space="preserve"> University</w:t>
            </w:r>
          </w:p>
        </w:tc>
      </w:tr>
      <w:tr w:rsidR="00765576" w:rsidRPr="006E621C" w:rsidTr="001E1838">
        <w:trPr>
          <w:trHeight w:val="219"/>
        </w:trPr>
        <w:tc>
          <w:tcPr>
            <w:tcW w:w="3681" w:type="dxa"/>
            <w:vMerge w:val="restart"/>
            <w:vAlign w:val="center"/>
          </w:tcPr>
          <w:p w:rsidR="00765576" w:rsidRPr="00C44CDB" w:rsidRDefault="00765576" w:rsidP="001E1838">
            <w:pPr>
              <w:rPr>
                <w:rFonts w:eastAsia="Arial"/>
                <w:b/>
                <w:bCs/>
              </w:rPr>
            </w:pPr>
            <w:r w:rsidRPr="00C44CDB">
              <w:rPr>
                <w:rFonts w:eastAsia="Arial"/>
                <w:b/>
                <w:bCs/>
              </w:rPr>
              <w:t>Dignitary/s present at inaugural function:</w:t>
            </w:r>
          </w:p>
        </w:tc>
        <w:tc>
          <w:tcPr>
            <w:tcW w:w="567" w:type="dxa"/>
            <w:vAlign w:val="center"/>
          </w:tcPr>
          <w:p w:rsidR="00765576" w:rsidRPr="00C44CDB" w:rsidRDefault="00765576" w:rsidP="001E1838">
            <w:pPr>
              <w:tabs>
                <w:tab w:val="left" w:pos="1020"/>
              </w:tabs>
              <w:spacing w:line="0" w:lineRule="atLeast"/>
              <w:jc w:val="center"/>
              <w:rPr>
                <w:rFonts w:eastAsia="Arial"/>
              </w:rPr>
            </w:pPr>
            <w:r w:rsidRPr="00C44CDB">
              <w:rPr>
                <w:rFonts w:eastAsia="Arial"/>
              </w:rPr>
              <w:t>No</w:t>
            </w:r>
          </w:p>
        </w:tc>
        <w:tc>
          <w:tcPr>
            <w:tcW w:w="2410" w:type="dxa"/>
            <w:vAlign w:val="center"/>
          </w:tcPr>
          <w:p w:rsidR="00765576" w:rsidRPr="004E13F2" w:rsidRDefault="00765576" w:rsidP="001E1838">
            <w:pPr>
              <w:tabs>
                <w:tab w:val="left" w:pos="1020"/>
              </w:tabs>
              <w:spacing w:line="0" w:lineRule="atLeast"/>
              <w:jc w:val="center"/>
              <w:rPr>
                <w:rFonts w:eastAsia="Arial"/>
                <w:b/>
                <w:bCs/>
              </w:rPr>
            </w:pPr>
            <w:r w:rsidRPr="004E13F2">
              <w:rPr>
                <w:rFonts w:eastAsia="Arial"/>
                <w:b/>
                <w:bCs/>
              </w:rPr>
              <w:t>Name</w:t>
            </w:r>
          </w:p>
        </w:tc>
        <w:tc>
          <w:tcPr>
            <w:tcW w:w="2976" w:type="dxa"/>
            <w:vAlign w:val="center"/>
          </w:tcPr>
          <w:p w:rsidR="00765576" w:rsidRPr="004E13F2" w:rsidRDefault="00765576" w:rsidP="001E1838">
            <w:pPr>
              <w:tabs>
                <w:tab w:val="left" w:pos="1020"/>
              </w:tabs>
              <w:spacing w:line="0" w:lineRule="atLeast"/>
              <w:jc w:val="center"/>
              <w:rPr>
                <w:rFonts w:eastAsia="Arial"/>
                <w:b/>
                <w:bCs/>
              </w:rPr>
            </w:pPr>
            <w:r w:rsidRPr="004E13F2">
              <w:rPr>
                <w:rFonts w:eastAsia="Arial"/>
                <w:b/>
                <w:bCs/>
              </w:rPr>
              <w:t>Designation</w:t>
            </w:r>
          </w:p>
        </w:tc>
      </w:tr>
      <w:tr w:rsidR="00765576" w:rsidRPr="006E621C" w:rsidTr="001E1838">
        <w:trPr>
          <w:trHeight w:val="217"/>
        </w:trPr>
        <w:tc>
          <w:tcPr>
            <w:tcW w:w="3681" w:type="dxa"/>
            <w:vMerge/>
            <w:vAlign w:val="center"/>
          </w:tcPr>
          <w:p w:rsidR="00765576" w:rsidRPr="00CC4294" w:rsidRDefault="00765576" w:rsidP="001E1838">
            <w:pPr>
              <w:rPr>
                <w:rFonts w:eastAsia="Arial"/>
                <w:b/>
                <w:bCs/>
                <w:highlight w:val="yellow"/>
              </w:rPr>
            </w:pPr>
          </w:p>
        </w:tc>
        <w:tc>
          <w:tcPr>
            <w:tcW w:w="567" w:type="dxa"/>
            <w:vAlign w:val="center"/>
          </w:tcPr>
          <w:p w:rsidR="00765576" w:rsidRPr="00C44CDB" w:rsidRDefault="00765576" w:rsidP="001E1838">
            <w:pPr>
              <w:tabs>
                <w:tab w:val="left" w:pos="1020"/>
              </w:tabs>
              <w:spacing w:line="0" w:lineRule="atLeast"/>
              <w:jc w:val="center"/>
              <w:rPr>
                <w:rFonts w:eastAsia="Arial"/>
              </w:rPr>
            </w:pPr>
          </w:p>
        </w:tc>
        <w:tc>
          <w:tcPr>
            <w:tcW w:w="2410" w:type="dxa"/>
            <w:vAlign w:val="center"/>
          </w:tcPr>
          <w:p w:rsidR="00765576" w:rsidRPr="00B94253" w:rsidRDefault="00765576" w:rsidP="001E1838">
            <w:pPr>
              <w:tabs>
                <w:tab w:val="left" w:pos="1020"/>
              </w:tabs>
              <w:spacing w:line="0" w:lineRule="atLeast"/>
              <w:jc w:val="center"/>
              <w:rPr>
                <w:rFonts w:eastAsia="Arial"/>
              </w:rPr>
            </w:pPr>
          </w:p>
        </w:tc>
        <w:tc>
          <w:tcPr>
            <w:tcW w:w="2976" w:type="dxa"/>
            <w:vAlign w:val="center"/>
          </w:tcPr>
          <w:p w:rsidR="00765576" w:rsidRPr="00B94253" w:rsidRDefault="00765576" w:rsidP="001E1838">
            <w:pPr>
              <w:tabs>
                <w:tab w:val="left" w:pos="1020"/>
              </w:tabs>
              <w:spacing w:line="0" w:lineRule="atLeast"/>
              <w:jc w:val="center"/>
              <w:rPr>
                <w:rFonts w:eastAsia="Arial"/>
              </w:rPr>
            </w:pPr>
          </w:p>
        </w:tc>
      </w:tr>
      <w:tr w:rsidR="00765576" w:rsidRPr="006E621C" w:rsidTr="001E1838">
        <w:tc>
          <w:tcPr>
            <w:tcW w:w="3681" w:type="dxa"/>
            <w:vAlign w:val="center"/>
          </w:tcPr>
          <w:p w:rsidR="00765576" w:rsidRPr="006E621C" w:rsidRDefault="00765576" w:rsidP="001E1838">
            <w:pPr>
              <w:rPr>
                <w:b/>
                <w:bCs/>
              </w:rPr>
            </w:pPr>
            <w:r w:rsidRPr="006E621C">
              <w:rPr>
                <w:rFonts w:eastAsia="Arial"/>
                <w:b/>
                <w:bCs/>
              </w:rPr>
              <w:t>Total no. of participants</w:t>
            </w:r>
          </w:p>
        </w:tc>
        <w:tc>
          <w:tcPr>
            <w:tcW w:w="5953" w:type="dxa"/>
            <w:gridSpan w:val="3"/>
            <w:vAlign w:val="center"/>
          </w:tcPr>
          <w:p w:rsidR="00765576" w:rsidRPr="006E621C" w:rsidRDefault="00765576" w:rsidP="001E1838">
            <w:pPr>
              <w:jc w:val="center"/>
              <w:rPr>
                <w:b/>
                <w:bCs/>
              </w:rPr>
            </w:pPr>
            <w:r>
              <w:rPr>
                <w:b/>
                <w:bCs/>
              </w:rPr>
              <w:t>10+</w:t>
            </w:r>
          </w:p>
        </w:tc>
      </w:tr>
      <w:tr w:rsidR="00765576" w:rsidRPr="006E621C" w:rsidTr="001E1838">
        <w:tc>
          <w:tcPr>
            <w:tcW w:w="3681" w:type="dxa"/>
            <w:vAlign w:val="center"/>
          </w:tcPr>
          <w:p w:rsidR="00765576" w:rsidRPr="006E621C" w:rsidRDefault="00765576" w:rsidP="001E1838">
            <w:pPr>
              <w:rPr>
                <w:rFonts w:eastAsia="Arial"/>
                <w:b/>
                <w:bCs/>
              </w:rPr>
            </w:pPr>
            <w:r w:rsidRPr="006E621C">
              <w:rPr>
                <w:rFonts w:eastAsia="Arial"/>
                <w:b/>
                <w:bCs/>
              </w:rPr>
              <w:t>Fees per participant If any</w:t>
            </w:r>
          </w:p>
          <w:p w:rsidR="00765576" w:rsidRPr="006E621C" w:rsidRDefault="00765576" w:rsidP="001E1838">
            <w:pPr>
              <w:rPr>
                <w:rFonts w:eastAsia="Arial"/>
                <w:b/>
                <w:bCs/>
              </w:rPr>
            </w:pPr>
            <w:r w:rsidRPr="006E621C">
              <w:rPr>
                <w:rFonts w:eastAsia="Arial"/>
                <w:b/>
                <w:bCs/>
              </w:rPr>
              <w:t>(External/Internal)</w:t>
            </w:r>
          </w:p>
        </w:tc>
        <w:tc>
          <w:tcPr>
            <w:tcW w:w="5953" w:type="dxa"/>
            <w:gridSpan w:val="3"/>
            <w:vAlign w:val="center"/>
          </w:tcPr>
          <w:p w:rsidR="00765576" w:rsidRDefault="00765576" w:rsidP="001E1838">
            <w:pPr>
              <w:jc w:val="center"/>
              <w:rPr>
                <w:b/>
                <w:bCs/>
              </w:rPr>
            </w:pPr>
            <w:r>
              <w:rPr>
                <w:b/>
                <w:bCs/>
              </w:rPr>
              <w:t>0.00</w:t>
            </w:r>
          </w:p>
          <w:p w:rsidR="00765576" w:rsidRPr="006E621C" w:rsidRDefault="00765576" w:rsidP="001E1838">
            <w:pPr>
              <w:jc w:val="center"/>
              <w:rPr>
                <w:b/>
                <w:bCs/>
              </w:rPr>
            </w:pPr>
          </w:p>
        </w:tc>
      </w:tr>
      <w:tr w:rsidR="00765576" w:rsidRPr="006E621C" w:rsidTr="001E1838">
        <w:tc>
          <w:tcPr>
            <w:tcW w:w="3681" w:type="dxa"/>
            <w:vAlign w:val="center"/>
          </w:tcPr>
          <w:p w:rsidR="00765576" w:rsidRPr="006E621C" w:rsidRDefault="00765576" w:rsidP="001E1838">
            <w:pPr>
              <w:rPr>
                <w:rFonts w:eastAsia="Arial"/>
                <w:b/>
                <w:bCs/>
              </w:rPr>
            </w:pPr>
            <w:r w:rsidRPr="006E621C">
              <w:rPr>
                <w:rFonts w:eastAsia="Arial"/>
                <w:b/>
                <w:bCs/>
              </w:rPr>
              <w:t>Total Fees received If any</w:t>
            </w:r>
          </w:p>
        </w:tc>
        <w:tc>
          <w:tcPr>
            <w:tcW w:w="5953" w:type="dxa"/>
            <w:gridSpan w:val="3"/>
            <w:vAlign w:val="center"/>
          </w:tcPr>
          <w:p w:rsidR="00765576" w:rsidRPr="006E621C" w:rsidRDefault="00765576" w:rsidP="001E1838">
            <w:pPr>
              <w:jc w:val="center"/>
              <w:rPr>
                <w:b/>
                <w:bCs/>
              </w:rPr>
            </w:pPr>
            <w:r>
              <w:rPr>
                <w:b/>
                <w:bCs/>
              </w:rPr>
              <w:t>0.00</w:t>
            </w:r>
          </w:p>
        </w:tc>
      </w:tr>
      <w:tr w:rsidR="00765576" w:rsidRPr="006E621C" w:rsidTr="001E1838">
        <w:tc>
          <w:tcPr>
            <w:tcW w:w="3681" w:type="dxa"/>
            <w:vAlign w:val="center"/>
          </w:tcPr>
          <w:p w:rsidR="00765576" w:rsidRPr="006E621C" w:rsidRDefault="00765576" w:rsidP="001E1838">
            <w:pPr>
              <w:rPr>
                <w:rFonts w:eastAsia="Arial"/>
                <w:b/>
                <w:bCs/>
              </w:rPr>
            </w:pPr>
            <w:r w:rsidRPr="006E621C">
              <w:rPr>
                <w:rFonts w:eastAsia="Arial"/>
                <w:b/>
                <w:bCs/>
              </w:rPr>
              <w:t>Income from Other Sources If any</w:t>
            </w:r>
          </w:p>
        </w:tc>
        <w:tc>
          <w:tcPr>
            <w:tcW w:w="5953" w:type="dxa"/>
            <w:gridSpan w:val="3"/>
            <w:vAlign w:val="center"/>
          </w:tcPr>
          <w:p w:rsidR="00765576" w:rsidRPr="006E621C" w:rsidRDefault="00765576" w:rsidP="001E1838">
            <w:pPr>
              <w:jc w:val="center"/>
              <w:rPr>
                <w:b/>
                <w:bCs/>
              </w:rPr>
            </w:pPr>
            <w:r>
              <w:rPr>
                <w:b/>
                <w:bCs/>
              </w:rPr>
              <w:t>NA</w:t>
            </w:r>
          </w:p>
        </w:tc>
      </w:tr>
      <w:tr w:rsidR="00765576" w:rsidRPr="006E621C" w:rsidTr="001E1838">
        <w:tc>
          <w:tcPr>
            <w:tcW w:w="3681" w:type="dxa"/>
            <w:vAlign w:val="center"/>
          </w:tcPr>
          <w:p w:rsidR="00765576" w:rsidRPr="006E621C" w:rsidRDefault="00765576" w:rsidP="001E1838">
            <w:pPr>
              <w:rPr>
                <w:rFonts w:eastAsia="Arial"/>
                <w:b/>
                <w:bCs/>
              </w:rPr>
            </w:pPr>
            <w:r w:rsidRPr="006E621C">
              <w:rPr>
                <w:rFonts w:eastAsia="Arial"/>
                <w:b/>
                <w:bCs/>
              </w:rPr>
              <w:t>Total Income</w:t>
            </w:r>
          </w:p>
        </w:tc>
        <w:tc>
          <w:tcPr>
            <w:tcW w:w="5953" w:type="dxa"/>
            <w:gridSpan w:val="3"/>
            <w:vAlign w:val="center"/>
          </w:tcPr>
          <w:p w:rsidR="00765576" w:rsidRPr="006E621C" w:rsidRDefault="00765576" w:rsidP="001E1838">
            <w:pPr>
              <w:jc w:val="center"/>
              <w:rPr>
                <w:b/>
                <w:bCs/>
              </w:rPr>
            </w:pPr>
            <w:r>
              <w:rPr>
                <w:b/>
                <w:bCs/>
              </w:rPr>
              <w:t>0.00</w:t>
            </w:r>
          </w:p>
        </w:tc>
      </w:tr>
      <w:tr w:rsidR="00765576" w:rsidRPr="006E621C" w:rsidTr="001E1838">
        <w:tc>
          <w:tcPr>
            <w:tcW w:w="3681" w:type="dxa"/>
            <w:vAlign w:val="center"/>
          </w:tcPr>
          <w:p w:rsidR="00765576" w:rsidRPr="006E621C" w:rsidRDefault="00765576" w:rsidP="001E1838">
            <w:pPr>
              <w:rPr>
                <w:rFonts w:eastAsia="Arial"/>
                <w:b/>
                <w:bCs/>
              </w:rPr>
            </w:pPr>
            <w:r w:rsidRPr="006E621C">
              <w:rPr>
                <w:rFonts w:eastAsia="Arial"/>
                <w:b/>
                <w:bCs/>
              </w:rPr>
              <w:t>Total expenditure if any</w:t>
            </w:r>
          </w:p>
        </w:tc>
        <w:tc>
          <w:tcPr>
            <w:tcW w:w="5953" w:type="dxa"/>
            <w:gridSpan w:val="3"/>
            <w:vAlign w:val="center"/>
          </w:tcPr>
          <w:p w:rsidR="00765576" w:rsidRPr="006E621C" w:rsidRDefault="00765576" w:rsidP="001E1838">
            <w:pPr>
              <w:jc w:val="center"/>
              <w:rPr>
                <w:b/>
                <w:bCs/>
              </w:rPr>
            </w:pPr>
            <w:r>
              <w:rPr>
                <w:b/>
                <w:bCs/>
              </w:rPr>
              <w:t>xxx</w:t>
            </w:r>
          </w:p>
        </w:tc>
      </w:tr>
    </w:tbl>
    <w:p w:rsidR="00765576" w:rsidRDefault="00765576" w:rsidP="00765576"/>
    <w:p w:rsidR="00765576" w:rsidRPr="00765576" w:rsidRDefault="00765576" w:rsidP="00765576">
      <w:pPr>
        <w:spacing w:before="100" w:beforeAutospacing="1" w:after="100" w:afterAutospacing="1" w:line="240" w:lineRule="auto"/>
        <w:rPr>
          <w:rFonts w:ascii="Aptos" w:eastAsia="Times New Roman" w:hAnsi="Aptos" w:cs="Times New Roman"/>
          <w:sz w:val="24"/>
          <w:szCs w:val="24"/>
          <w:lang w:eastAsia="en-IN"/>
        </w:rPr>
      </w:pPr>
      <w:proofErr w:type="spellStart"/>
      <w:r w:rsidRPr="00765576">
        <w:rPr>
          <w:rFonts w:ascii="Aptos" w:eastAsia="Times New Roman" w:hAnsi="Aptos" w:cs="Times New Roman"/>
          <w:sz w:val="24"/>
          <w:szCs w:val="24"/>
          <w:lang w:eastAsia="en-IN"/>
        </w:rPr>
        <w:t>Navrachana</w:t>
      </w:r>
      <w:proofErr w:type="spellEnd"/>
      <w:r w:rsidRPr="00765576">
        <w:rPr>
          <w:rFonts w:ascii="Aptos" w:eastAsia="Times New Roman" w:hAnsi="Aptos" w:cs="Times New Roman"/>
          <w:sz w:val="24"/>
          <w:szCs w:val="24"/>
          <w:lang w:eastAsia="en-IN"/>
        </w:rPr>
        <w:t xml:space="preserve"> Innovation Foundation organized </w:t>
      </w:r>
      <w:r w:rsidRPr="00765576">
        <w:rPr>
          <w:rFonts w:ascii="Aptos" w:eastAsia="Times New Roman" w:hAnsi="Aptos" w:cs="Times New Roman"/>
          <w:b/>
          <w:bCs/>
          <w:sz w:val="24"/>
          <w:szCs w:val="24"/>
          <w:lang w:eastAsia="en-IN"/>
        </w:rPr>
        <w:t xml:space="preserve">Startup </w:t>
      </w:r>
      <w:proofErr w:type="spellStart"/>
      <w:r w:rsidRPr="00765576">
        <w:rPr>
          <w:rFonts w:ascii="Aptos" w:eastAsia="Times New Roman" w:hAnsi="Aptos" w:cs="Times New Roman"/>
          <w:b/>
          <w:bCs/>
          <w:sz w:val="24"/>
          <w:szCs w:val="24"/>
          <w:lang w:eastAsia="en-IN"/>
        </w:rPr>
        <w:t>Apna</w:t>
      </w:r>
      <w:proofErr w:type="spellEnd"/>
      <w:r w:rsidRPr="00765576">
        <w:rPr>
          <w:rFonts w:ascii="Aptos" w:eastAsia="Times New Roman" w:hAnsi="Aptos" w:cs="Times New Roman"/>
          <w:b/>
          <w:bCs/>
          <w:sz w:val="24"/>
          <w:szCs w:val="24"/>
          <w:lang w:eastAsia="en-IN"/>
        </w:rPr>
        <w:t xml:space="preserve"> </w:t>
      </w:r>
      <w:proofErr w:type="spellStart"/>
      <w:r w:rsidRPr="00765576">
        <w:rPr>
          <w:rFonts w:ascii="Aptos" w:eastAsia="Times New Roman" w:hAnsi="Aptos" w:cs="Times New Roman"/>
          <w:b/>
          <w:bCs/>
          <w:sz w:val="24"/>
          <w:szCs w:val="24"/>
          <w:lang w:eastAsia="en-IN"/>
        </w:rPr>
        <w:t>Apna</w:t>
      </w:r>
      <w:proofErr w:type="spellEnd"/>
      <w:r w:rsidRPr="00765576">
        <w:rPr>
          <w:rFonts w:ascii="Aptos" w:eastAsia="Times New Roman" w:hAnsi="Aptos" w:cs="Times New Roman"/>
          <w:sz w:val="24"/>
          <w:szCs w:val="24"/>
          <w:lang w:eastAsia="en-IN"/>
        </w:rPr>
        <w:t>, a student-focused pitch forum aimed at discovering promising early-stage ideas across the university and introducing students to foundational concepts of innovation, market understanding, and entrepreneurial articulation. The event brought together students from multiple disciplines, encouraging them to present ideas backed by problem understanding, preliminary research, customer insights, and feasible solution pathways.</w:t>
      </w:r>
    </w:p>
    <w:p w:rsidR="00765576" w:rsidRPr="00765576" w:rsidRDefault="00765576" w:rsidP="00765576">
      <w:p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lastRenderedPageBreak/>
        <w:t>The pitch process allowed students to learn how early-stage ideas evolve into actionable innovation models. Participants presented diverse solutions—ranging from e-commerce concepts to productivity tools and community-</w:t>
      </w:r>
      <w:proofErr w:type="spellStart"/>
      <w:r w:rsidRPr="00765576">
        <w:rPr>
          <w:rFonts w:ascii="Aptos" w:eastAsia="Times New Roman" w:hAnsi="Aptos" w:cs="Times New Roman"/>
          <w:sz w:val="24"/>
          <w:szCs w:val="24"/>
          <w:lang w:eastAsia="en-IN"/>
        </w:rPr>
        <w:t>centered</w:t>
      </w:r>
      <w:proofErr w:type="spellEnd"/>
      <w:r w:rsidRPr="00765576">
        <w:rPr>
          <w:rFonts w:ascii="Aptos" w:eastAsia="Times New Roman" w:hAnsi="Aptos" w:cs="Times New Roman"/>
          <w:sz w:val="24"/>
          <w:szCs w:val="24"/>
          <w:lang w:eastAsia="en-IN"/>
        </w:rPr>
        <w:t xml:space="preserve"> platforms—demonstrating a vibrant mix of curiosity and creativity. The NIF evaluation panel provided structured feedback on each pitch, focusing on </w:t>
      </w:r>
      <w:r w:rsidRPr="00765576">
        <w:rPr>
          <w:rFonts w:ascii="Aptos" w:eastAsia="Times New Roman" w:hAnsi="Aptos" w:cs="Times New Roman"/>
          <w:b/>
          <w:bCs/>
          <w:sz w:val="24"/>
          <w:szCs w:val="24"/>
          <w:lang w:eastAsia="en-IN"/>
        </w:rPr>
        <w:t>problem clarity, user need identification, feasibility, innovation value, and presentation quality</w:t>
      </w:r>
      <w:r w:rsidRPr="00765576">
        <w:rPr>
          <w:rFonts w:ascii="Aptos" w:eastAsia="Times New Roman" w:hAnsi="Aptos" w:cs="Times New Roman"/>
          <w:sz w:val="24"/>
          <w:szCs w:val="24"/>
          <w:lang w:eastAsia="en-IN"/>
        </w:rPr>
        <w:t>. Many ideas exhibited potential for refinement and development through mentorship.</w:t>
      </w:r>
    </w:p>
    <w:p w:rsidR="00765576" w:rsidRPr="00765576" w:rsidRDefault="00765576" w:rsidP="00765576">
      <w:p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t xml:space="preserve">A key highlight of the event was the identification of </w:t>
      </w:r>
      <w:r w:rsidRPr="00765576">
        <w:rPr>
          <w:rFonts w:ascii="Aptos" w:eastAsia="Times New Roman" w:hAnsi="Aptos" w:cs="Times New Roman"/>
          <w:b/>
          <w:bCs/>
          <w:sz w:val="24"/>
          <w:szCs w:val="24"/>
          <w:lang w:eastAsia="en-IN"/>
        </w:rPr>
        <w:t>three winning ideas</w:t>
      </w:r>
      <w:r w:rsidRPr="00765576">
        <w:rPr>
          <w:rFonts w:ascii="Aptos" w:eastAsia="Times New Roman" w:hAnsi="Aptos" w:cs="Times New Roman"/>
          <w:sz w:val="24"/>
          <w:szCs w:val="24"/>
          <w:lang w:eastAsia="en-IN"/>
        </w:rPr>
        <w:t>, selected based on clarity, innovation potential, and readiness to progress into structured incubation.</w:t>
      </w:r>
      <w:r w:rsidRPr="00765576">
        <w:rPr>
          <w:rFonts w:ascii="Aptos" w:eastAsia="Times New Roman" w:hAnsi="Aptos" w:cs="Times New Roman"/>
          <w:sz w:val="24"/>
          <w:szCs w:val="24"/>
          <w:lang w:eastAsia="en-IN"/>
        </w:rPr>
        <w:br/>
        <w:t>The winners were:</w:t>
      </w:r>
    </w:p>
    <w:p w:rsidR="00765576" w:rsidRPr="00765576" w:rsidRDefault="00765576" w:rsidP="00765576">
      <w:pPr>
        <w:numPr>
          <w:ilvl w:val="0"/>
          <w:numId w:val="1"/>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b/>
          <w:bCs/>
          <w:sz w:val="24"/>
          <w:szCs w:val="24"/>
          <w:lang w:eastAsia="en-IN"/>
        </w:rPr>
        <w:t xml:space="preserve">Rishi </w:t>
      </w:r>
      <w:proofErr w:type="spellStart"/>
      <w:r w:rsidRPr="00765576">
        <w:rPr>
          <w:rFonts w:ascii="Aptos" w:eastAsia="Times New Roman" w:hAnsi="Aptos" w:cs="Times New Roman"/>
          <w:b/>
          <w:bCs/>
          <w:sz w:val="24"/>
          <w:szCs w:val="24"/>
          <w:lang w:eastAsia="en-IN"/>
        </w:rPr>
        <w:t>Kadecha</w:t>
      </w:r>
      <w:proofErr w:type="spellEnd"/>
      <w:r w:rsidRPr="00765576">
        <w:rPr>
          <w:rFonts w:ascii="Aptos" w:eastAsia="Times New Roman" w:hAnsi="Aptos" w:cs="Times New Roman"/>
          <w:sz w:val="24"/>
          <w:szCs w:val="24"/>
          <w:lang w:eastAsia="en-IN"/>
        </w:rPr>
        <w:t xml:space="preserve"> – </w:t>
      </w:r>
      <w:r w:rsidRPr="00765576">
        <w:rPr>
          <w:rFonts w:ascii="Aptos" w:eastAsia="Times New Roman" w:hAnsi="Aptos" w:cs="Times New Roman"/>
          <w:i/>
          <w:iCs/>
          <w:sz w:val="24"/>
          <w:szCs w:val="24"/>
          <w:lang w:eastAsia="en-IN"/>
        </w:rPr>
        <w:t>Community E-Commerce Platform</w:t>
      </w:r>
      <w:r w:rsidRPr="00765576">
        <w:rPr>
          <w:rFonts w:ascii="Aptos" w:eastAsia="Times New Roman" w:hAnsi="Aptos" w:cs="Times New Roman"/>
          <w:sz w:val="24"/>
          <w:szCs w:val="24"/>
          <w:lang w:eastAsia="en-IN"/>
        </w:rPr>
        <w:br/>
        <w:t>A concept designed to connect neighbourhood-level buyers and sellers, fostering hyperlocal commerce, trust, and resource accessibility.</w:t>
      </w:r>
    </w:p>
    <w:p w:rsidR="00765576" w:rsidRPr="00765576" w:rsidRDefault="00765576" w:rsidP="00765576">
      <w:pPr>
        <w:numPr>
          <w:ilvl w:val="0"/>
          <w:numId w:val="1"/>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b/>
          <w:bCs/>
          <w:sz w:val="24"/>
          <w:szCs w:val="24"/>
          <w:lang w:eastAsia="en-IN"/>
        </w:rPr>
        <w:t>Abhishek Gupta</w:t>
      </w:r>
      <w:r w:rsidRPr="00765576">
        <w:rPr>
          <w:rFonts w:ascii="Aptos" w:eastAsia="Times New Roman" w:hAnsi="Aptos" w:cs="Times New Roman"/>
          <w:sz w:val="24"/>
          <w:szCs w:val="24"/>
          <w:lang w:eastAsia="en-IN"/>
        </w:rPr>
        <w:t xml:space="preserve"> – </w:t>
      </w:r>
      <w:proofErr w:type="spellStart"/>
      <w:r w:rsidRPr="00765576">
        <w:rPr>
          <w:rFonts w:ascii="Aptos" w:eastAsia="Times New Roman" w:hAnsi="Aptos" w:cs="Times New Roman"/>
          <w:i/>
          <w:iCs/>
          <w:sz w:val="24"/>
          <w:szCs w:val="24"/>
          <w:lang w:eastAsia="en-IN"/>
        </w:rPr>
        <w:t>MandiGPT</w:t>
      </w:r>
      <w:proofErr w:type="spellEnd"/>
      <w:r w:rsidRPr="00765576">
        <w:rPr>
          <w:rFonts w:ascii="Aptos" w:eastAsia="Times New Roman" w:hAnsi="Aptos" w:cs="Times New Roman"/>
          <w:sz w:val="24"/>
          <w:szCs w:val="24"/>
          <w:lang w:eastAsia="en-IN"/>
        </w:rPr>
        <w:br/>
        <w:t xml:space="preserve">An AI-driven solution aimed at assisting farmers and traders with mandi price updates, crop insights, and </w:t>
      </w:r>
      <w:proofErr w:type="spellStart"/>
      <w:r w:rsidRPr="00765576">
        <w:rPr>
          <w:rFonts w:ascii="Aptos" w:eastAsia="Times New Roman" w:hAnsi="Aptos" w:cs="Times New Roman"/>
          <w:sz w:val="24"/>
          <w:szCs w:val="24"/>
          <w:lang w:eastAsia="en-IN"/>
        </w:rPr>
        <w:t>agri</w:t>
      </w:r>
      <w:proofErr w:type="spellEnd"/>
      <w:r w:rsidRPr="00765576">
        <w:rPr>
          <w:rFonts w:ascii="Aptos" w:eastAsia="Times New Roman" w:hAnsi="Aptos" w:cs="Times New Roman"/>
          <w:sz w:val="24"/>
          <w:szCs w:val="24"/>
          <w:lang w:eastAsia="en-IN"/>
        </w:rPr>
        <w:t>-support information in a simplified format.</w:t>
      </w:r>
    </w:p>
    <w:p w:rsidR="00765576" w:rsidRPr="00765576" w:rsidRDefault="00765576" w:rsidP="00765576">
      <w:pPr>
        <w:numPr>
          <w:ilvl w:val="0"/>
          <w:numId w:val="1"/>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b/>
          <w:bCs/>
          <w:sz w:val="24"/>
          <w:szCs w:val="24"/>
          <w:lang w:eastAsia="en-IN"/>
        </w:rPr>
        <w:t>Khushi Singh &amp; Team</w:t>
      </w:r>
      <w:r w:rsidRPr="00765576">
        <w:rPr>
          <w:rFonts w:ascii="Aptos" w:eastAsia="Times New Roman" w:hAnsi="Aptos" w:cs="Times New Roman"/>
          <w:sz w:val="24"/>
          <w:szCs w:val="24"/>
          <w:lang w:eastAsia="en-IN"/>
        </w:rPr>
        <w:t xml:space="preserve"> – </w:t>
      </w:r>
      <w:r w:rsidRPr="00765576">
        <w:rPr>
          <w:rFonts w:ascii="Aptos" w:eastAsia="Times New Roman" w:hAnsi="Aptos" w:cs="Times New Roman"/>
          <w:i/>
          <w:iCs/>
          <w:sz w:val="24"/>
          <w:szCs w:val="24"/>
          <w:lang w:eastAsia="en-IN"/>
        </w:rPr>
        <w:t>Snatch</w:t>
      </w:r>
      <w:r w:rsidRPr="00765576">
        <w:rPr>
          <w:rFonts w:ascii="Aptos" w:eastAsia="Times New Roman" w:hAnsi="Aptos" w:cs="Times New Roman"/>
          <w:sz w:val="24"/>
          <w:szCs w:val="24"/>
          <w:lang w:eastAsia="en-IN"/>
        </w:rPr>
        <w:br/>
        <w:t>A fast-paced, youth-</w:t>
      </w:r>
      <w:proofErr w:type="spellStart"/>
      <w:r w:rsidRPr="00765576">
        <w:rPr>
          <w:rFonts w:ascii="Aptos" w:eastAsia="Times New Roman" w:hAnsi="Aptos" w:cs="Times New Roman"/>
          <w:sz w:val="24"/>
          <w:szCs w:val="24"/>
          <w:lang w:eastAsia="en-IN"/>
        </w:rPr>
        <w:t>centered</w:t>
      </w:r>
      <w:proofErr w:type="spellEnd"/>
      <w:r w:rsidRPr="00765576">
        <w:rPr>
          <w:rFonts w:ascii="Aptos" w:eastAsia="Times New Roman" w:hAnsi="Aptos" w:cs="Times New Roman"/>
          <w:sz w:val="24"/>
          <w:szCs w:val="24"/>
          <w:lang w:eastAsia="en-IN"/>
        </w:rPr>
        <w:t xml:space="preserve"> concept focused on daily-use essentials available through immediate-access micro-distribution.</w:t>
      </w:r>
    </w:p>
    <w:p w:rsidR="00765576" w:rsidRPr="00765576" w:rsidRDefault="00765576" w:rsidP="00765576">
      <w:p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t xml:space="preserve">In recognition of their thoughtful pitches, </w:t>
      </w:r>
      <w:r w:rsidRPr="00765576">
        <w:rPr>
          <w:rFonts w:ascii="Aptos" w:eastAsia="Times New Roman" w:hAnsi="Aptos" w:cs="Times New Roman"/>
          <w:b/>
          <w:bCs/>
          <w:sz w:val="24"/>
          <w:szCs w:val="24"/>
          <w:lang w:eastAsia="en-IN"/>
        </w:rPr>
        <w:t>all three winning teams were awarded one month of free incubation at NIF</w:t>
      </w:r>
      <w:r w:rsidRPr="00765576">
        <w:rPr>
          <w:rFonts w:ascii="Aptos" w:eastAsia="Times New Roman" w:hAnsi="Aptos" w:cs="Times New Roman"/>
          <w:sz w:val="24"/>
          <w:szCs w:val="24"/>
          <w:lang w:eastAsia="en-IN"/>
        </w:rPr>
        <w:t>, giving them an opportunity to refine their ideas with structured mentorship, guided workshops, and ecosystem exposure. This initiative marked the beginning of their journey into the campus startup pipeline.</w:t>
      </w:r>
    </w:p>
    <w:p w:rsidR="00765576" w:rsidRPr="00765576" w:rsidRDefault="00765576" w:rsidP="00765576">
      <w:p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t xml:space="preserve">Startup </w:t>
      </w:r>
      <w:proofErr w:type="spellStart"/>
      <w:r w:rsidRPr="00765576">
        <w:rPr>
          <w:rFonts w:ascii="Aptos" w:eastAsia="Times New Roman" w:hAnsi="Aptos" w:cs="Times New Roman"/>
          <w:sz w:val="24"/>
          <w:szCs w:val="24"/>
          <w:lang w:eastAsia="en-IN"/>
        </w:rPr>
        <w:t>Apna</w:t>
      </w:r>
      <w:proofErr w:type="spellEnd"/>
      <w:r w:rsidRPr="00765576">
        <w:rPr>
          <w:rFonts w:ascii="Aptos" w:eastAsia="Times New Roman" w:hAnsi="Aptos" w:cs="Times New Roman"/>
          <w:sz w:val="24"/>
          <w:szCs w:val="24"/>
          <w:lang w:eastAsia="en-IN"/>
        </w:rPr>
        <w:t xml:space="preserve"> </w:t>
      </w:r>
      <w:proofErr w:type="spellStart"/>
      <w:r w:rsidRPr="00765576">
        <w:rPr>
          <w:rFonts w:ascii="Aptos" w:eastAsia="Times New Roman" w:hAnsi="Aptos" w:cs="Times New Roman"/>
          <w:sz w:val="24"/>
          <w:szCs w:val="24"/>
          <w:lang w:eastAsia="en-IN"/>
        </w:rPr>
        <w:t>Apna</w:t>
      </w:r>
      <w:proofErr w:type="spellEnd"/>
      <w:r w:rsidRPr="00765576">
        <w:rPr>
          <w:rFonts w:ascii="Aptos" w:eastAsia="Times New Roman" w:hAnsi="Aptos" w:cs="Times New Roman"/>
          <w:sz w:val="24"/>
          <w:szCs w:val="24"/>
          <w:lang w:eastAsia="en-IN"/>
        </w:rPr>
        <w:t xml:space="preserve"> further strengthened peer learning on campus, as students engaged in constructive discussions, supported each other’s ideas, and developed confidence in presenting to panels. The event played a vital role in helping young innovators understand how their ideas can evolve into real-world solutions when supported by research, clarity, and continuous refinement.</w:t>
      </w:r>
    </w:p>
    <w:p w:rsidR="00765576" w:rsidRPr="00765576" w:rsidRDefault="008E2073" w:rsidP="00765576">
      <w:pPr>
        <w:spacing w:after="0" w:line="240" w:lineRule="auto"/>
        <w:rPr>
          <w:rFonts w:ascii="Aptos" w:eastAsia="Times New Roman" w:hAnsi="Aptos" w:cs="Times New Roman"/>
          <w:sz w:val="24"/>
          <w:szCs w:val="24"/>
          <w:lang w:eastAsia="en-IN"/>
        </w:rPr>
      </w:pPr>
      <w:r>
        <w:rPr>
          <w:rFonts w:ascii="Aptos" w:eastAsia="Times New Roman" w:hAnsi="Aptos" w:cs="Times New Roman"/>
          <w:sz w:val="24"/>
          <w:szCs w:val="24"/>
          <w:lang w:eastAsia="en-IN"/>
        </w:rPr>
        <w:pict>
          <v:rect id="_x0000_i1025" style="width:0;height:1.5pt" o:hralign="center" o:hrstd="t" o:hr="t" fillcolor="#a0a0a0" stroked="f"/>
        </w:pict>
      </w:r>
    </w:p>
    <w:p w:rsidR="00765576" w:rsidRPr="00765576" w:rsidRDefault="00765576" w:rsidP="00765576">
      <w:pPr>
        <w:spacing w:before="100" w:beforeAutospacing="1" w:after="100" w:afterAutospacing="1" w:line="240" w:lineRule="auto"/>
        <w:outlineLvl w:val="1"/>
        <w:rPr>
          <w:rFonts w:ascii="Aptos" w:eastAsia="Times New Roman" w:hAnsi="Aptos" w:cs="Times New Roman"/>
          <w:b/>
          <w:bCs/>
          <w:sz w:val="36"/>
          <w:szCs w:val="36"/>
          <w:lang w:eastAsia="en-IN"/>
        </w:rPr>
      </w:pPr>
      <w:r w:rsidRPr="00765576">
        <w:rPr>
          <w:rFonts w:ascii="Aptos" w:eastAsia="Times New Roman" w:hAnsi="Aptos" w:cs="Times New Roman"/>
          <w:b/>
          <w:bCs/>
          <w:sz w:val="36"/>
          <w:szCs w:val="36"/>
          <w:lang w:eastAsia="en-IN"/>
        </w:rPr>
        <w:t xml:space="preserve">Key Takeaways </w:t>
      </w:r>
      <w:proofErr w:type="gramStart"/>
      <w:r w:rsidRPr="00765576">
        <w:rPr>
          <w:rFonts w:ascii="Aptos" w:eastAsia="Times New Roman" w:hAnsi="Aptos" w:cs="Times New Roman"/>
          <w:b/>
          <w:bCs/>
          <w:sz w:val="36"/>
          <w:szCs w:val="36"/>
          <w:lang w:eastAsia="en-IN"/>
        </w:rPr>
        <w:t>From</w:t>
      </w:r>
      <w:proofErr w:type="gramEnd"/>
      <w:r w:rsidRPr="00765576">
        <w:rPr>
          <w:rFonts w:ascii="Aptos" w:eastAsia="Times New Roman" w:hAnsi="Aptos" w:cs="Times New Roman"/>
          <w:b/>
          <w:bCs/>
          <w:sz w:val="36"/>
          <w:szCs w:val="36"/>
          <w:lang w:eastAsia="en-IN"/>
        </w:rPr>
        <w:t xml:space="preserve"> the Event</w:t>
      </w:r>
    </w:p>
    <w:p w:rsidR="00765576" w:rsidRPr="00765576" w:rsidRDefault="00765576" w:rsidP="00765576">
      <w:pPr>
        <w:spacing w:before="100" w:beforeAutospacing="1" w:after="100" w:afterAutospacing="1" w:line="240" w:lineRule="auto"/>
        <w:outlineLvl w:val="2"/>
        <w:rPr>
          <w:rFonts w:ascii="Aptos" w:eastAsia="Times New Roman" w:hAnsi="Aptos" w:cs="Times New Roman"/>
          <w:b/>
          <w:bCs/>
          <w:sz w:val="27"/>
          <w:szCs w:val="27"/>
          <w:lang w:eastAsia="en-IN"/>
        </w:rPr>
      </w:pPr>
      <w:r w:rsidRPr="00765576">
        <w:rPr>
          <w:rFonts w:ascii="Aptos" w:eastAsia="Times New Roman" w:hAnsi="Aptos" w:cs="Times New Roman"/>
          <w:b/>
          <w:bCs/>
          <w:sz w:val="27"/>
          <w:szCs w:val="27"/>
          <w:lang w:eastAsia="en-IN"/>
        </w:rPr>
        <w:t>Student Learning Outcomes</w:t>
      </w:r>
    </w:p>
    <w:p w:rsidR="00765576" w:rsidRPr="00765576" w:rsidRDefault="00765576" w:rsidP="00765576">
      <w:pPr>
        <w:numPr>
          <w:ilvl w:val="0"/>
          <w:numId w:val="2"/>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t>Ability to translate initial ideas into structured pitch-ready concepts</w:t>
      </w:r>
    </w:p>
    <w:p w:rsidR="00765576" w:rsidRPr="00765576" w:rsidRDefault="00765576" w:rsidP="00765576">
      <w:pPr>
        <w:numPr>
          <w:ilvl w:val="0"/>
          <w:numId w:val="2"/>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t xml:space="preserve">Exposure to </w:t>
      </w:r>
      <w:r w:rsidRPr="00765576">
        <w:rPr>
          <w:rFonts w:ascii="Aptos" w:eastAsia="Times New Roman" w:hAnsi="Aptos" w:cs="Times New Roman"/>
          <w:b/>
          <w:bCs/>
          <w:sz w:val="24"/>
          <w:szCs w:val="24"/>
          <w:lang w:eastAsia="en-IN"/>
        </w:rPr>
        <w:t>value proposition thinking</w:t>
      </w:r>
      <w:r w:rsidRPr="00765576">
        <w:rPr>
          <w:rFonts w:ascii="Aptos" w:eastAsia="Times New Roman" w:hAnsi="Aptos" w:cs="Times New Roman"/>
          <w:sz w:val="24"/>
          <w:szCs w:val="24"/>
          <w:lang w:eastAsia="en-IN"/>
        </w:rPr>
        <w:t>, customer insight development &amp; market need analysis</w:t>
      </w:r>
    </w:p>
    <w:p w:rsidR="00765576" w:rsidRPr="00765576" w:rsidRDefault="00765576" w:rsidP="00765576">
      <w:pPr>
        <w:numPr>
          <w:ilvl w:val="0"/>
          <w:numId w:val="2"/>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t>Awareness of feasibility, prototype direction, and innovation modelling</w:t>
      </w:r>
    </w:p>
    <w:p w:rsidR="00765576" w:rsidRPr="00765576" w:rsidRDefault="00765576" w:rsidP="00765576">
      <w:pPr>
        <w:numPr>
          <w:ilvl w:val="0"/>
          <w:numId w:val="2"/>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t>Improved communication, confidence, and presentation skills</w:t>
      </w:r>
    </w:p>
    <w:p w:rsidR="00765576" w:rsidRPr="00765576" w:rsidRDefault="00765576" w:rsidP="00765576">
      <w:pPr>
        <w:spacing w:before="100" w:beforeAutospacing="1" w:after="100" w:afterAutospacing="1" w:line="240" w:lineRule="auto"/>
        <w:outlineLvl w:val="2"/>
        <w:rPr>
          <w:rFonts w:ascii="Aptos" w:eastAsia="Times New Roman" w:hAnsi="Aptos" w:cs="Times New Roman"/>
          <w:b/>
          <w:bCs/>
          <w:sz w:val="27"/>
          <w:szCs w:val="27"/>
          <w:lang w:eastAsia="en-IN"/>
        </w:rPr>
      </w:pPr>
      <w:r w:rsidRPr="00765576">
        <w:rPr>
          <w:rFonts w:ascii="Aptos" w:eastAsia="Times New Roman" w:hAnsi="Aptos" w:cs="Times New Roman"/>
          <w:b/>
          <w:bCs/>
          <w:sz w:val="27"/>
          <w:szCs w:val="27"/>
          <w:lang w:eastAsia="en-IN"/>
        </w:rPr>
        <w:t>Jury &amp; Mentor Observations</w:t>
      </w:r>
    </w:p>
    <w:p w:rsidR="00765576" w:rsidRPr="00765576" w:rsidRDefault="00765576" w:rsidP="00765576">
      <w:pPr>
        <w:numPr>
          <w:ilvl w:val="0"/>
          <w:numId w:val="3"/>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lastRenderedPageBreak/>
        <w:t>High enthusiasm and creativity among participants</w:t>
      </w:r>
    </w:p>
    <w:p w:rsidR="00765576" w:rsidRPr="00765576" w:rsidRDefault="00765576" w:rsidP="00765576">
      <w:pPr>
        <w:numPr>
          <w:ilvl w:val="0"/>
          <w:numId w:val="3"/>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t>Appreciation for the diversity of concepts presented</w:t>
      </w:r>
    </w:p>
    <w:p w:rsidR="00765576" w:rsidRPr="00765576" w:rsidRDefault="00765576" w:rsidP="00765576">
      <w:pPr>
        <w:numPr>
          <w:ilvl w:val="0"/>
          <w:numId w:val="3"/>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t>Identification of three standout ideas ready for immediate incubation</w:t>
      </w:r>
    </w:p>
    <w:p w:rsidR="00765576" w:rsidRPr="00765576" w:rsidRDefault="00765576" w:rsidP="00765576">
      <w:pPr>
        <w:numPr>
          <w:ilvl w:val="0"/>
          <w:numId w:val="3"/>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t>Recognition of the need for students to strengthen their market validation skills</w:t>
      </w:r>
    </w:p>
    <w:p w:rsidR="00765576" w:rsidRPr="00765576" w:rsidRDefault="00765576" w:rsidP="00765576">
      <w:pPr>
        <w:spacing w:before="100" w:beforeAutospacing="1" w:after="100" w:afterAutospacing="1" w:line="240" w:lineRule="auto"/>
        <w:outlineLvl w:val="2"/>
        <w:rPr>
          <w:rFonts w:ascii="Aptos" w:eastAsia="Times New Roman" w:hAnsi="Aptos" w:cs="Times New Roman"/>
          <w:b/>
          <w:bCs/>
          <w:sz w:val="27"/>
          <w:szCs w:val="27"/>
          <w:lang w:eastAsia="en-IN"/>
        </w:rPr>
      </w:pPr>
      <w:r w:rsidRPr="00765576">
        <w:rPr>
          <w:rFonts w:ascii="Aptos" w:eastAsia="Times New Roman" w:hAnsi="Aptos" w:cs="Times New Roman"/>
          <w:b/>
          <w:bCs/>
          <w:sz w:val="27"/>
          <w:szCs w:val="27"/>
          <w:lang w:eastAsia="en-IN"/>
        </w:rPr>
        <w:t>Impact on Campus Innovation Culture</w:t>
      </w:r>
    </w:p>
    <w:p w:rsidR="00765576" w:rsidRPr="00765576" w:rsidRDefault="00765576" w:rsidP="00765576">
      <w:pPr>
        <w:numPr>
          <w:ilvl w:val="0"/>
          <w:numId w:val="4"/>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t>Activated early-stage startup enthusiasm across departments</w:t>
      </w:r>
    </w:p>
    <w:p w:rsidR="00765576" w:rsidRPr="00765576" w:rsidRDefault="00765576" w:rsidP="00765576">
      <w:pPr>
        <w:numPr>
          <w:ilvl w:val="0"/>
          <w:numId w:val="4"/>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t>Built a funnel of potential innovators for NIF’s incubation pipeline</w:t>
      </w:r>
    </w:p>
    <w:p w:rsidR="00765576" w:rsidRPr="00765576" w:rsidRDefault="00765576" w:rsidP="00765576">
      <w:pPr>
        <w:numPr>
          <w:ilvl w:val="0"/>
          <w:numId w:val="4"/>
        </w:numPr>
        <w:spacing w:before="100" w:beforeAutospacing="1" w:after="100" w:afterAutospacing="1" w:line="240" w:lineRule="auto"/>
        <w:rPr>
          <w:rFonts w:ascii="Aptos" w:eastAsia="Times New Roman" w:hAnsi="Aptos" w:cs="Times New Roman"/>
          <w:sz w:val="24"/>
          <w:szCs w:val="24"/>
          <w:lang w:eastAsia="en-IN"/>
        </w:rPr>
      </w:pPr>
      <w:r w:rsidRPr="00765576">
        <w:rPr>
          <w:rFonts w:ascii="Aptos" w:eastAsia="Times New Roman" w:hAnsi="Aptos" w:cs="Times New Roman"/>
          <w:sz w:val="24"/>
          <w:szCs w:val="24"/>
          <w:lang w:eastAsia="en-IN"/>
        </w:rPr>
        <w:t>Reinforced a culture of collaboration, curiosity, and entrepreneurial exploration</w:t>
      </w:r>
    </w:p>
    <w:p w:rsidR="00765576" w:rsidRDefault="00765576" w:rsidP="00765576"/>
    <w:p w:rsidR="00765576" w:rsidRDefault="00765576" w:rsidP="00765576">
      <w:pPr>
        <w:rPr>
          <w:rFonts w:ascii="Aptos" w:eastAsia="Times New Roman" w:hAnsi="Aptos" w:cs="Times New Roman"/>
          <w:b/>
          <w:bCs/>
          <w:sz w:val="36"/>
          <w:szCs w:val="36"/>
          <w:lang w:eastAsia="en-IN"/>
        </w:rPr>
      </w:pPr>
      <w:r>
        <w:rPr>
          <w:rFonts w:ascii="Aptos" w:eastAsia="Times New Roman" w:hAnsi="Aptos" w:cs="Times New Roman"/>
          <w:b/>
          <w:bCs/>
          <w:sz w:val="36"/>
          <w:szCs w:val="36"/>
          <w:lang w:eastAsia="en-IN"/>
        </w:rPr>
        <w:t>Photographs</w:t>
      </w:r>
    </w:p>
    <w:p w:rsidR="00765576" w:rsidRDefault="00765576" w:rsidP="00765576">
      <w:r>
        <w:rPr>
          <w:noProof/>
          <w:lang w:eastAsia="en-IN"/>
        </w:rPr>
        <w:drawing>
          <wp:inline distT="0" distB="0" distL="0" distR="0">
            <wp:extent cx="3695700" cy="369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95700" cy="3695700"/>
                    </a:xfrm>
                    <a:prstGeom prst="rect">
                      <a:avLst/>
                    </a:prstGeom>
                    <a:noFill/>
                    <a:ln>
                      <a:noFill/>
                    </a:ln>
                  </pic:spPr>
                </pic:pic>
              </a:graphicData>
            </a:graphic>
          </wp:inline>
        </w:drawing>
      </w:r>
    </w:p>
    <w:p w:rsidR="00765576" w:rsidRDefault="00765576" w:rsidP="00765576">
      <w:r>
        <w:rPr>
          <w:noProof/>
          <w:lang w:eastAsia="en-IN"/>
        </w:rPr>
        <w:drawing>
          <wp:inline distT="0" distB="0" distL="0" distR="0">
            <wp:extent cx="2209800" cy="229573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6404" cy="2302595"/>
                    </a:xfrm>
                    <a:prstGeom prst="rect">
                      <a:avLst/>
                    </a:prstGeom>
                    <a:noFill/>
                    <a:ln>
                      <a:noFill/>
                    </a:ln>
                  </pic:spPr>
                </pic:pic>
              </a:graphicData>
            </a:graphic>
          </wp:inline>
        </w:drawing>
      </w:r>
    </w:p>
    <w:p w:rsidR="00765576" w:rsidRDefault="00765576" w:rsidP="00765576">
      <w:r>
        <w:rPr>
          <w:noProof/>
          <w:lang w:eastAsia="en-IN"/>
        </w:rPr>
        <w:lastRenderedPageBreak/>
        <w:drawing>
          <wp:inline distT="0" distB="0" distL="0" distR="0">
            <wp:extent cx="5731510" cy="600773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007735"/>
                    </a:xfrm>
                    <a:prstGeom prst="rect">
                      <a:avLst/>
                    </a:prstGeom>
                    <a:noFill/>
                    <a:ln>
                      <a:noFill/>
                    </a:ln>
                  </pic:spPr>
                </pic:pic>
              </a:graphicData>
            </a:graphic>
          </wp:inline>
        </w:drawing>
      </w:r>
    </w:p>
    <w:sectPr w:rsidR="007655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00FEA"/>
    <w:multiLevelType w:val="multilevel"/>
    <w:tmpl w:val="77B25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4321BB"/>
    <w:multiLevelType w:val="multilevel"/>
    <w:tmpl w:val="68A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2023D"/>
    <w:multiLevelType w:val="multilevel"/>
    <w:tmpl w:val="27E4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37E8D"/>
    <w:multiLevelType w:val="multilevel"/>
    <w:tmpl w:val="52B4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76"/>
    <w:rsid w:val="006A57AF"/>
    <w:rsid w:val="00765576"/>
    <w:rsid w:val="008E2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858D"/>
  <w15:chartTrackingRefBased/>
  <w15:docId w15:val="{6AF4FB14-CCE5-48F6-AEF5-66235E36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6557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76557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576"/>
    <w:rPr>
      <w:rFonts w:ascii="Segoe UI" w:hAnsi="Segoe UI" w:cs="Segoe UI"/>
      <w:sz w:val="18"/>
      <w:szCs w:val="18"/>
    </w:rPr>
  </w:style>
  <w:style w:type="table" w:styleId="TableGrid">
    <w:name w:val="Table Grid"/>
    <w:basedOn w:val="TableNormal"/>
    <w:uiPriority w:val="39"/>
    <w:rsid w:val="00765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6557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765576"/>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7655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65576"/>
    <w:rPr>
      <w:b/>
      <w:bCs/>
    </w:rPr>
  </w:style>
  <w:style w:type="character" w:styleId="Emphasis">
    <w:name w:val="Emphasis"/>
    <w:basedOn w:val="DefaultParagraphFont"/>
    <w:uiPriority w:val="20"/>
    <w:qFormat/>
    <w:rsid w:val="007655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0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Panigrahi</dc:creator>
  <cp:keywords/>
  <dc:description/>
  <cp:lastModifiedBy>Vivek.Rabari</cp:lastModifiedBy>
  <cp:revision>2</cp:revision>
  <dcterms:created xsi:type="dcterms:W3CDTF">2026-03-11T06:56:00Z</dcterms:created>
  <dcterms:modified xsi:type="dcterms:W3CDTF">2026-03-11T06:56:00Z</dcterms:modified>
</cp:coreProperties>
</file>